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8F7" w:rsidRDefault="00BD6B5A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Załącznik nr 1.1 do zapytania ofertowego</w:t>
      </w:r>
    </w:p>
    <w:p w:rsidR="00FF38F7" w:rsidRDefault="00BD6B5A">
      <w:pPr>
        <w:pStyle w:val="Nagwek1"/>
        <w:spacing w:before="0" w:after="0" w:line="360" w:lineRule="auto"/>
      </w:pPr>
      <w:r>
        <w:t>Tabela: Opis przedmiotu zamówienia dla części I zamówienia</w:t>
      </w:r>
    </w:p>
    <w:tbl>
      <w:tblPr>
        <w:tblStyle w:val="Tabela-Siatka"/>
        <w:tblW w:w="14010" w:type="dxa"/>
        <w:tblLayout w:type="fixed"/>
        <w:tblLook w:val="04A0" w:firstRow="1" w:lastRow="0" w:firstColumn="1" w:lastColumn="0" w:noHBand="0" w:noVBand="1"/>
      </w:tblPr>
      <w:tblGrid>
        <w:gridCol w:w="878"/>
        <w:gridCol w:w="2197"/>
        <w:gridCol w:w="8940"/>
        <w:gridCol w:w="1995"/>
      </w:tblGrid>
      <w:tr w:rsidR="00FF38F7">
        <w:tc>
          <w:tcPr>
            <w:tcW w:w="878" w:type="dxa"/>
          </w:tcPr>
          <w:p w:rsidR="00FF38F7" w:rsidRDefault="00BD6B5A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L.p.</w:t>
            </w:r>
          </w:p>
        </w:tc>
        <w:tc>
          <w:tcPr>
            <w:tcW w:w="2197" w:type="dxa"/>
          </w:tcPr>
          <w:p w:rsidR="00FF38F7" w:rsidRDefault="00BD6B5A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Nazwa zadania </w:t>
            </w:r>
          </w:p>
        </w:tc>
        <w:tc>
          <w:tcPr>
            <w:tcW w:w="8939" w:type="dxa"/>
          </w:tcPr>
          <w:p w:rsidR="00FF38F7" w:rsidRDefault="00BD6B5A">
            <w:pPr>
              <w:tabs>
                <w:tab w:val="center" w:pos="2748"/>
              </w:tabs>
              <w:spacing w:after="0"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Opis techniczny</w:t>
            </w:r>
            <w:r w:rsidR="00DE263D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  <w:p w:rsidR="00FF38F7" w:rsidRDefault="00BD6B5A">
            <w:pPr>
              <w:tabs>
                <w:tab w:val="center" w:pos="2748"/>
              </w:tabs>
              <w:spacing w:after="0"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(Opis przedmiotu zamówienia zawiera minimalne parametry techniczne i użytkowe przedmiotu zamówienia co oznacza, że Wykonawca może zaoferować przedmiot zamówienia charakteryzujący się lepszymi parametrami technicznymi i/lub użytkowymi).</w:t>
            </w:r>
          </w:p>
        </w:tc>
        <w:tc>
          <w:tcPr>
            <w:tcW w:w="1995" w:type="dxa"/>
          </w:tcPr>
          <w:p w:rsidR="00FF38F7" w:rsidRDefault="00BD6B5A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Ilość</w:t>
            </w:r>
          </w:p>
        </w:tc>
      </w:tr>
      <w:tr w:rsidR="00FF38F7">
        <w:tc>
          <w:tcPr>
            <w:tcW w:w="878" w:type="dxa"/>
          </w:tcPr>
          <w:p w:rsidR="00FF38F7" w:rsidRDefault="00FF38F7">
            <w:pPr>
              <w:pStyle w:val="Akapitzlist"/>
              <w:numPr>
                <w:ilvl w:val="0"/>
                <w:numId w:val="1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97" w:type="dxa"/>
          </w:tcPr>
          <w:p w:rsidR="00FF38F7" w:rsidRDefault="00BD6B5A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 Wymiana podłogi</w:t>
            </w:r>
          </w:p>
          <w:p w:rsidR="00FF38F7" w:rsidRDefault="00BD6B5A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Zadanie 1 Adaptacja, doposażenie placówki, zakup pomocy dydaktycznych do prowadzenia zajęć</w:t>
            </w:r>
          </w:p>
        </w:tc>
        <w:tc>
          <w:tcPr>
            <w:tcW w:w="8939" w:type="dxa"/>
          </w:tcPr>
          <w:p w:rsidR="00FF38F7" w:rsidRDefault="00BD6B5A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Przedmiot zamówienia obejmuje:</w:t>
            </w:r>
          </w:p>
          <w:p w:rsidR="00FF38F7" w:rsidRPr="00AF18C8" w:rsidRDefault="00BD6B5A">
            <w:pPr>
              <w:numPr>
                <w:ilvl w:val="0"/>
                <w:numId w:val="2"/>
              </w:numPr>
              <w:tabs>
                <w:tab w:val="left" w:pos="708"/>
                <w:tab w:val="center" w:pos="4536"/>
                <w:tab w:val="right" w:pos="9072"/>
              </w:tabs>
              <w:spacing w:after="200" w:line="276" w:lineRule="auto"/>
              <w:rPr>
                <w:rFonts w:ascii="Arial" w:eastAsia="Calibri" w:hAnsi="Arial" w:cs="Arial"/>
                <w:sz w:val="24"/>
              </w:rPr>
            </w:pPr>
            <w:r w:rsidRPr="00AF18C8">
              <w:rPr>
                <w:rFonts w:ascii="Arial" w:eastAsia="Calibri" w:hAnsi="Arial" w:cs="Arial"/>
                <w:sz w:val="24"/>
              </w:rPr>
              <w:t>Zerwanie i utylizacja istniejących płytek PCV i listew.</w:t>
            </w:r>
          </w:p>
          <w:p w:rsidR="00FF38F7" w:rsidRPr="00AF18C8" w:rsidRDefault="00BD6B5A">
            <w:pPr>
              <w:numPr>
                <w:ilvl w:val="0"/>
                <w:numId w:val="2"/>
              </w:numPr>
              <w:tabs>
                <w:tab w:val="left" w:pos="708"/>
                <w:tab w:val="center" w:pos="4536"/>
                <w:tab w:val="right" w:pos="9072"/>
              </w:tabs>
              <w:spacing w:after="200" w:line="276" w:lineRule="auto"/>
              <w:rPr>
                <w:rFonts w:ascii="Arial" w:eastAsia="Calibri" w:hAnsi="Arial" w:cs="Arial"/>
                <w:sz w:val="24"/>
              </w:rPr>
            </w:pPr>
            <w:r w:rsidRPr="00AF18C8">
              <w:rPr>
                <w:rFonts w:ascii="Arial" w:eastAsia="Calibri" w:hAnsi="Arial" w:cs="Arial"/>
                <w:sz w:val="24"/>
              </w:rPr>
              <w:t>Przygotowanie podłoża i ścian do montażu wykładzin PCV - Wylanie masy samopoziomującej do 3-4 mm, szpachlowanie ścian po zerwanych cokołach</w:t>
            </w:r>
          </w:p>
          <w:p w:rsidR="00FF38F7" w:rsidRPr="00AF18C8" w:rsidRDefault="00BD6B5A">
            <w:pPr>
              <w:numPr>
                <w:ilvl w:val="0"/>
                <w:numId w:val="2"/>
              </w:numPr>
              <w:tabs>
                <w:tab w:val="left" w:pos="708"/>
                <w:tab w:val="center" w:pos="4536"/>
                <w:tab w:val="right" w:pos="9072"/>
              </w:tabs>
              <w:spacing w:after="200" w:line="276" w:lineRule="auto"/>
              <w:rPr>
                <w:rFonts w:ascii="Arial" w:eastAsia="Calibri" w:hAnsi="Arial" w:cs="Arial"/>
                <w:sz w:val="24"/>
              </w:rPr>
            </w:pPr>
            <w:r w:rsidRPr="00AF18C8">
              <w:rPr>
                <w:rFonts w:ascii="Arial" w:eastAsia="Calibri" w:hAnsi="Arial" w:cs="Arial"/>
                <w:sz w:val="24"/>
              </w:rPr>
              <w:t>Dostawa i montaż wykładzin PCV:</w:t>
            </w:r>
          </w:p>
          <w:p w:rsidR="00FF38F7" w:rsidRPr="00AF18C8" w:rsidRDefault="00BD6B5A">
            <w:pPr>
              <w:tabs>
                <w:tab w:val="left" w:pos="708"/>
                <w:tab w:val="center" w:pos="4536"/>
                <w:tab w:val="right" w:pos="9072"/>
              </w:tabs>
              <w:spacing w:after="200" w:line="276" w:lineRule="auto"/>
              <w:ind w:left="720"/>
              <w:rPr>
                <w:rFonts w:ascii="Arial" w:eastAsia="Calibri" w:hAnsi="Arial" w:cs="Arial"/>
                <w:sz w:val="24"/>
              </w:rPr>
            </w:pPr>
            <w:r w:rsidRPr="00AF18C8">
              <w:rPr>
                <w:rFonts w:ascii="Arial" w:eastAsia="Calibri" w:hAnsi="Arial" w:cs="Arial"/>
                <w:sz w:val="24"/>
              </w:rPr>
              <w:t>Parametry wykładziny PCV:</w:t>
            </w:r>
          </w:p>
          <w:p w:rsidR="00FF38F7" w:rsidRPr="00AF18C8" w:rsidRDefault="00BD6B5A">
            <w:pPr>
              <w:tabs>
                <w:tab w:val="left" w:pos="708"/>
                <w:tab w:val="center" w:pos="4536"/>
                <w:tab w:val="right" w:pos="9072"/>
              </w:tabs>
              <w:spacing w:line="276" w:lineRule="auto"/>
              <w:ind w:left="720"/>
              <w:rPr>
                <w:rFonts w:ascii="Arial" w:eastAsia="Calibri" w:hAnsi="Arial" w:cs="Arial"/>
                <w:sz w:val="24"/>
              </w:rPr>
            </w:pPr>
            <w:r w:rsidRPr="00AF18C8">
              <w:rPr>
                <w:rFonts w:ascii="Arial" w:eastAsia="Calibri" w:hAnsi="Arial" w:cs="Arial"/>
                <w:sz w:val="24"/>
              </w:rPr>
              <w:t>Typ produktu – heterogeniczne</w:t>
            </w:r>
          </w:p>
          <w:p w:rsidR="00FF38F7" w:rsidRPr="00AF18C8" w:rsidRDefault="00BD6B5A">
            <w:pPr>
              <w:tabs>
                <w:tab w:val="left" w:pos="708"/>
                <w:tab w:val="center" w:pos="4536"/>
                <w:tab w:val="right" w:pos="9072"/>
              </w:tabs>
              <w:spacing w:line="276" w:lineRule="auto"/>
              <w:ind w:left="720"/>
              <w:rPr>
                <w:rFonts w:ascii="Arial" w:eastAsia="Calibri" w:hAnsi="Arial" w:cs="Arial"/>
                <w:sz w:val="24"/>
              </w:rPr>
            </w:pPr>
            <w:r w:rsidRPr="00AF18C8">
              <w:rPr>
                <w:rFonts w:ascii="Arial" w:eastAsia="Calibri" w:hAnsi="Arial" w:cs="Arial"/>
                <w:sz w:val="24"/>
              </w:rPr>
              <w:t>Klasyfikacja obiektowa</w:t>
            </w:r>
            <w:r w:rsidR="00AF18C8" w:rsidRPr="00AF18C8">
              <w:rPr>
                <w:rFonts w:ascii="Arial" w:eastAsia="Calibri" w:hAnsi="Arial" w:cs="Arial"/>
                <w:sz w:val="24"/>
              </w:rPr>
              <w:t xml:space="preserve"> </w:t>
            </w:r>
            <w:r w:rsidRPr="00AF18C8">
              <w:rPr>
                <w:rFonts w:ascii="Arial" w:eastAsia="Calibri" w:hAnsi="Arial" w:cs="Arial"/>
                <w:sz w:val="24"/>
              </w:rPr>
              <w:t>– 34 bardzo intensywne natężenie ruchu</w:t>
            </w:r>
          </w:p>
          <w:p w:rsidR="00FF38F7" w:rsidRPr="00AF18C8" w:rsidRDefault="00AF18C8">
            <w:pPr>
              <w:tabs>
                <w:tab w:val="left" w:pos="708"/>
                <w:tab w:val="center" w:pos="4536"/>
                <w:tab w:val="right" w:pos="9072"/>
              </w:tabs>
              <w:spacing w:line="276" w:lineRule="auto"/>
              <w:ind w:left="720"/>
              <w:rPr>
                <w:rFonts w:ascii="Arial" w:eastAsia="Calibri" w:hAnsi="Arial" w:cs="Arial"/>
                <w:sz w:val="24"/>
              </w:rPr>
            </w:pPr>
            <w:r w:rsidRPr="00AF18C8">
              <w:rPr>
                <w:rFonts w:ascii="Arial" w:eastAsia="Calibri" w:hAnsi="Arial" w:cs="Arial"/>
                <w:sz w:val="24"/>
              </w:rPr>
              <w:t>Grubość całkowita</w:t>
            </w:r>
            <w:r w:rsidR="00BD6B5A" w:rsidRPr="00AF18C8">
              <w:rPr>
                <w:rFonts w:ascii="Arial" w:eastAsia="Calibri" w:hAnsi="Arial" w:cs="Arial"/>
                <w:sz w:val="24"/>
              </w:rPr>
              <w:t xml:space="preserve"> – 2,50 mm</w:t>
            </w:r>
          </w:p>
          <w:p w:rsidR="00FF38F7" w:rsidRPr="00AF18C8" w:rsidRDefault="00BD6B5A">
            <w:pPr>
              <w:tabs>
                <w:tab w:val="left" w:pos="708"/>
                <w:tab w:val="center" w:pos="4536"/>
                <w:tab w:val="right" w:pos="9072"/>
              </w:tabs>
              <w:spacing w:line="276" w:lineRule="auto"/>
              <w:ind w:left="720"/>
              <w:rPr>
                <w:rFonts w:ascii="Arial" w:eastAsia="Calibri" w:hAnsi="Arial" w:cs="Arial"/>
                <w:sz w:val="24"/>
              </w:rPr>
            </w:pPr>
            <w:r w:rsidRPr="00AF18C8">
              <w:rPr>
                <w:rFonts w:ascii="Arial" w:eastAsia="Calibri" w:hAnsi="Arial" w:cs="Arial"/>
                <w:sz w:val="24"/>
              </w:rPr>
              <w:t>Waga całkowita – 2900 g/m</w:t>
            </w:r>
            <w:r w:rsidRPr="00AF18C8">
              <w:rPr>
                <w:rFonts w:ascii="Arial" w:eastAsia="Calibri" w:hAnsi="Arial" w:cs="Arial"/>
                <w:sz w:val="24"/>
                <w:vertAlign w:val="superscript"/>
              </w:rPr>
              <w:t>2</w:t>
            </w:r>
          </w:p>
          <w:p w:rsidR="00FF38F7" w:rsidRPr="00AF18C8" w:rsidRDefault="00BD6B5A">
            <w:pPr>
              <w:tabs>
                <w:tab w:val="left" w:pos="708"/>
                <w:tab w:val="center" w:pos="4536"/>
                <w:tab w:val="right" w:pos="9072"/>
              </w:tabs>
              <w:spacing w:line="276" w:lineRule="auto"/>
              <w:ind w:left="720"/>
              <w:rPr>
                <w:rFonts w:ascii="Arial" w:eastAsia="Calibri" w:hAnsi="Arial" w:cs="Arial"/>
                <w:sz w:val="24"/>
              </w:rPr>
            </w:pPr>
            <w:r w:rsidRPr="00AF18C8">
              <w:rPr>
                <w:rFonts w:ascii="Arial" w:eastAsia="Calibri" w:hAnsi="Arial" w:cs="Arial"/>
                <w:sz w:val="24"/>
              </w:rPr>
              <w:t>Grubość warstwy użytkowej – 0,70 mm</w:t>
            </w:r>
          </w:p>
          <w:p w:rsidR="00FF38F7" w:rsidRPr="00AF18C8" w:rsidRDefault="00BD6B5A">
            <w:pPr>
              <w:tabs>
                <w:tab w:val="left" w:pos="708"/>
                <w:tab w:val="center" w:pos="4536"/>
                <w:tab w:val="right" w:pos="9072"/>
              </w:tabs>
              <w:spacing w:line="276" w:lineRule="auto"/>
              <w:ind w:left="720"/>
              <w:rPr>
                <w:rFonts w:ascii="Arial" w:eastAsia="Calibri" w:hAnsi="Arial" w:cs="Arial"/>
                <w:sz w:val="24"/>
              </w:rPr>
            </w:pPr>
            <w:r w:rsidRPr="00AF18C8">
              <w:rPr>
                <w:rFonts w:ascii="Arial" w:eastAsia="Calibri" w:hAnsi="Arial" w:cs="Arial"/>
                <w:sz w:val="24"/>
              </w:rPr>
              <w:lastRenderedPageBreak/>
              <w:t xml:space="preserve">Klasa </w:t>
            </w:r>
            <w:r w:rsidR="00AF18C8" w:rsidRPr="00AF18C8">
              <w:rPr>
                <w:rFonts w:ascii="Arial" w:eastAsia="Calibri" w:hAnsi="Arial" w:cs="Arial"/>
                <w:sz w:val="24"/>
              </w:rPr>
              <w:t xml:space="preserve">reakcji na ogień </w:t>
            </w:r>
            <w:r w:rsidRPr="00AF18C8">
              <w:rPr>
                <w:rFonts w:ascii="Arial" w:eastAsia="Calibri" w:hAnsi="Arial" w:cs="Arial"/>
                <w:sz w:val="24"/>
              </w:rPr>
              <w:t xml:space="preserve">– </w:t>
            </w:r>
            <w:proofErr w:type="spellStart"/>
            <w:r w:rsidRPr="00AF18C8">
              <w:rPr>
                <w:rFonts w:ascii="Arial" w:eastAsia="Calibri" w:hAnsi="Arial" w:cs="Arial"/>
                <w:sz w:val="24"/>
              </w:rPr>
              <w:t>Bfl</w:t>
            </w:r>
            <w:proofErr w:type="spellEnd"/>
            <w:r w:rsidRPr="00AF18C8">
              <w:rPr>
                <w:rFonts w:ascii="Arial" w:eastAsia="Calibri" w:hAnsi="Arial" w:cs="Arial"/>
                <w:sz w:val="24"/>
              </w:rPr>
              <w:t xml:space="preserve"> –s1</w:t>
            </w:r>
          </w:p>
          <w:p w:rsidR="00FF38F7" w:rsidRPr="00AF18C8" w:rsidRDefault="00AF18C8">
            <w:pPr>
              <w:tabs>
                <w:tab w:val="left" w:pos="708"/>
                <w:tab w:val="center" w:pos="4536"/>
                <w:tab w:val="right" w:pos="9072"/>
              </w:tabs>
              <w:spacing w:line="276" w:lineRule="auto"/>
              <w:ind w:left="720"/>
              <w:rPr>
                <w:rFonts w:ascii="Arial" w:eastAsia="Calibri" w:hAnsi="Arial" w:cs="Arial"/>
                <w:sz w:val="24"/>
              </w:rPr>
            </w:pPr>
            <w:r w:rsidRPr="00AF18C8">
              <w:rPr>
                <w:rFonts w:ascii="Arial" w:eastAsia="Calibri" w:hAnsi="Arial" w:cs="Arial"/>
                <w:sz w:val="24"/>
              </w:rPr>
              <w:t xml:space="preserve">Wgniecenie resztkowe </w:t>
            </w:r>
            <w:r w:rsidR="00BD6B5A" w:rsidRPr="00AF18C8">
              <w:rPr>
                <w:rFonts w:ascii="Arial" w:eastAsia="Calibri" w:hAnsi="Arial" w:cs="Arial"/>
                <w:sz w:val="24"/>
              </w:rPr>
              <w:t>– ≤ 0,10 mm</w:t>
            </w:r>
          </w:p>
          <w:p w:rsidR="00FF38F7" w:rsidRPr="00AF18C8" w:rsidRDefault="00BD6B5A">
            <w:pPr>
              <w:tabs>
                <w:tab w:val="left" w:pos="708"/>
                <w:tab w:val="center" w:pos="4536"/>
                <w:tab w:val="right" w:pos="9072"/>
              </w:tabs>
              <w:spacing w:line="276" w:lineRule="auto"/>
              <w:ind w:left="720"/>
              <w:rPr>
                <w:rFonts w:ascii="Arial" w:eastAsia="Calibri" w:hAnsi="Arial" w:cs="Arial"/>
                <w:sz w:val="24"/>
              </w:rPr>
            </w:pPr>
            <w:r w:rsidRPr="00AF18C8">
              <w:rPr>
                <w:rFonts w:ascii="Arial" w:eastAsia="Calibri" w:hAnsi="Arial" w:cs="Arial"/>
                <w:sz w:val="24"/>
              </w:rPr>
              <w:t>Izolacyjność</w:t>
            </w:r>
            <w:r w:rsidR="00AF18C8" w:rsidRPr="00AF18C8">
              <w:rPr>
                <w:rFonts w:ascii="Arial" w:eastAsia="Calibri" w:hAnsi="Arial" w:cs="Arial"/>
                <w:sz w:val="24"/>
              </w:rPr>
              <w:t xml:space="preserve"> od dźwięków uderzeniowych </w:t>
            </w:r>
            <w:proofErr w:type="spellStart"/>
            <w:r w:rsidR="00AF18C8" w:rsidRPr="00AF18C8">
              <w:rPr>
                <w:rFonts w:ascii="Arial" w:eastAsia="Calibri" w:hAnsi="Arial" w:cs="Arial"/>
                <w:sz w:val="24"/>
              </w:rPr>
              <w:t>ΔLw</w:t>
            </w:r>
            <w:proofErr w:type="spellEnd"/>
            <w:r w:rsidR="00AF18C8" w:rsidRPr="00AF18C8">
              <w:rPr>
                <w:rFonts w:ascii="Arial" w:eastAsia="Calibri" w:hAnsi="Arial" w:cs="Arial"/>
                <w:sz w:val="24"/>
              </w:rPr>
              <w:t xml:space="preserve"> </w:t>
            </w:r>
            <w:r w:rsidRPr="00AF18C8">
              <w:rPr>
                <w:rFonts w:ascii="Arial" w:eastAsia="Calibri" w:hAnsi="Arial" w:cs="Arial"/>
                <w:sz w:val="24"/>
              </w:rPr>
              <w:t xml:space="preserve">– 14 </w:t>
            </w:r>
            <w:proofErr w:type="spellStart"/>
            <w:r w:rsidRPr="00AF18C8">
              <w:rPr>
                <w:rFonts w:ascii="Arial" w:eastAsia="Calibri" w:hAnsi="Arial" w:cs="Arial"/>
                <w:sz w:val="24"/>
              </w:rPr>
              <w:t>dB</w:t>
            </w:r>
            <w:proofErr w:type="spellEnd"/>
          </w:p>
          <w:p w:rsidR="00FF38F7" w:rsidRPr="00AF18C8" w:rsidRDefault="00BD6B5A">
            <w:pPr>
              <w:tabs>
                <w:tab w:val="left" w:pos="708"/>
                <w:tab w:val="center" w:pos="4536"/>
                <w:tab w:val="right" w:pos="9072"/>
              </w:tabs>
              <w:spacing w:line="276" w:lineRule="auto"/>
              <w:ind w:left="720"/>
              <w:rPr>
                <w:rFonts w:ascii="Arial" w:eastAsia="Calibri" w:hAnsi="Arial" w:cs="Arial"/>
                <w:sz w:val="24"/>
              </w:rPr>
            </w:pPr>
            <w:r w:rsidRPr="00AF18C8">
              <w:rPr>
                <w:rFonts w:ascii="Arial" w:eastAsia="Calibri" w:hAnsi="Arial" w:cs="Arial"/>
                <w:sz w:val="24"/>
              </w:rPr>
              <w:t>Antypoślizgowość</w:t>
            </w:r>
            <w:r w:rsidR="00AF18C8" w:rsidRPr="00AF18C8">
              <w:rPr>
                <w:rFonts w:ascii="Arial" w:eastAsia="Calibri" w:hAnsi="Arial" w:cs="Arial"/>
                <w:sz w:val="24"/>
              </w:rPr>
              <w:t xml:space="preserve"> </w:t>
            </w:r>
            <w:r w:rsidRPr="00AF18C8">
              <w:rPr>
                <w:rFonts w:ascii="Arial" w:eastAsia="Calibri" w:hAnsi="Arial" w:cs="Arial"/>
                <w:sz w:val="24"/>
              </w:rPr>
              <w:t>– T10</w:t>
            </w:r>
          </w:p>
          <w:p w:rsidR="00FF38F7" w:rsidRPr="00AF18C8" w:rsidRDefault="00AF18C8">
            <w:pPr>
              <w:tabs>
                <w:tab w:val="left" w:pos="708"/>
                <w:tab w:val="center" w:pos="4536"/>
                <w:tab w:val="right" w:pos="9072"/>
              </w:tabs>
              <w:spacing w:line="276" w:lineRule="auto"/>
              <w:ind w:left="720"/>
              <w:rPr>
                <w:rFonts w:ascii="Arial" w:eastAsia="Calibri" w:hAnsi="Arial" w:cs="Arial"/>
                <w:sz w:val="24"/>
              </w:rPr>
            </w:pPr>
            <w:r w:rsidRPr="00AF18C8">
              <w:rPr>
                <w:rFonts w:ascii="Arial" w:eastAsia="Calibri" w:hAnsi="Arial" w:cs="Arial"/>
                <w:sz w:val="24"/>
              </w:rPr>
              <w:t>Oddziaływanie nóżek mebli</w:t>
            </w:r>
            <w:r w:rsidR="00BD6B5A" w:rsidRPr="00AF18C8">
              <w:rPr>
                <w:rFonts w:ascii="Arial" w:eastAsia="Calibri" w:hAnsi="Arial" w:cs="Arial"/>
                <w:sz w:val="24"/>
              </w:rPr>
              <w:t xml:space="preserve"> – brak uszkodzeń</w:t>
            </w:r>
          </w:p>
          <w:p w:rsidR="00FF38F7" w:rsidRPr="00AF18C8" w:rsidRDefault="00BD6B5A">
            <w:pPr>
              <w:tabs>
                <w:tab w:val="left" w:pos="708"/>
                <w:tab w:val="center" w:pos="4536"/>
                <w:tab w:val="right" w:pos="9072"/>
              </w:tabs>
              <w:spacing w:line="276" w:lineRule="auto"/>
              <w:ind w:left="720"/>
              <w:rPr>
                <w:rFonts w:ascii="Arial" w:eastAsia="Calibri" w:hAnsi="Arial" w:cs="Arial"/>
                <w:sz w:val="24"/>
              </w:rPr>
            </w:pPr>
            <w:r w:rsidRPr="00AF18C8">
              <w:rPr>
                <w:rFonts w:ascii="Arial" w:eastAsia="Calibri" w:hAnsi="Arial" w:cs="Arial"/>
                <w:sz w:val="24"/>
              </w:rPr>
              <w:t>Oddziaływanie kółek krzeseł</w:t>
            </w:r>
            <w:r w:rsidR="00AF18C8" w:rsidRPr="00AF18C8">
              <w:rPr>
                <w:rFonts w:ascii="Arial" w:eastAsia="Calibri" w:hAnsi="Arial" w:cs="Arial"/>
                <w:sz w:val="24"/>
              </w:rPr>
              <w:t xml:space="preserve"> </w:t>
            </w:r>
            <w:r w:rsidRPr="00AF18C8">
              <w:rPr>
                <w:rFonts w:ascii="Arial" w:eastAsia="Calibri" w:hAnsi="Arial" w:cs="Arial"/>
                <w:sz w:val="24"/>
              </w:rPr>
              <w:t>– brak uszkodzeń</w:t>
            </w:r>
          </w:p>
          <w:p w:rsidR="00FF38F7" w:rsidRPr="00AF18C8" w:rsidRDefault="00BD6B5A" w:rsidP="00AF18C8">
            <w:pPr>
              <w:tabs>
                <w:tab w:val="left" w:pos="708"/>
                <w:tab w:val="center" w:pos="4536"/>
                <w:tab w:val="right" w:pos="9072"/>
              </w:tabs>
              <w:spacing w:after="200" w:line="276" w:lineRule="auto"/>
              <w:ind w:left="720"/>
              <w:rPr>
                <w:rFonts w:ascii="Arial" w:eastAsia="Calibri" w:hAnsi="Arial" w:cs="Arial"/>
                <w:sz w:val="24"/>
              </w:rPr>
            </w:pPr>
            <w:r w:rsidRPr="00AF18C8">
              <w:rPr>
                <w:rFonts w:ascii="Arial" w:eastAsia="Calibri" w:hAnsi="Arial" w:cs="Arial"/>
                <w:sz w:val="24"/>
              </w:rPr>
              <w:t>Montaż: przyklejenie wykładzin w dwóch kolorach, wywinięcie cokolika 10 cm na ścianę, zgrzanie miejsc łączeń sznurem spawalniczym, montaż listew progowych aluminiowych</w:t>
            </w:r>
          </w:p>
        </w:tc>
        <w:tc>
          <w:tcPr>
            <w:tcW w:w="1995" w:type="dxa"/>
          </w:tcPr>
          <w:p w:rsidR="00AF18C8" w:rsidRDefault="00AF18C8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2  sale:</w:t>
            </w:r>
          </w:p>
          <w:p w:rsidR="00AF18C8" w:rsidRDefault="0041503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- </w:t>
            </w:r>
            <w:r w:rsidR="00AF18C8">
              <w:rPr>
                <w:rFonts w:ascii="Arial" w:eastAsia="Calibri" w:hAnsi="Arial" w:cs="Arial"/>
                <w:sz w:val="24"/>
                <w:szCs w:val="24"/>
              </w:rPr>
              <w:t>matematyczna ok. 67 m</w:t>
            </w:r>
            <w:r w:rsidR="00AF18C8" w:rsidRPr="00AF18C8">
              <w:rPr>
                <w:rFonts w:ascii="Arial" w:eastAsia="Calibri" w:hAnsi="Arial" w:cs="Arial"/>
                <w:sz w:val="24"/>
                <w:szCs w:val="24"/>
                <w:vertAlign w:val="superscript"/>
              </w:rPr>
              <w:t xml:space="preserve">2 </w:t>
            </w:r>
          </w:p>
          <w:p w:rsidR="00FF38F7" w:rsidRDefault="00AF18C8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- informatyczna ok. 77 m</w:t>
            </w:r>
            <w:r w:rsidRPr="00AF18C8">
              <w:rPr>
                <w:rFonts w:ascii="Arial" w:eastAsia="Calibri" w:hAnsi="Arial" w:cs="Arial"/>
                <w:sz w:val="24"/>
                <w:szCs w:val="24"/>
                <w:vertAlign w:val="superscript"/>
              </w:rPr>
              <w:t>2</w:t>
            </w:r>
          </w:p>
          <w:p w:rsidR="00AF18C8" w:rsidRDefault="00AF18C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F38F7" w:rsidRDefault="00FF38F7">
      <w:pPr>
        <w:spacing w:after="0" w:line="360" w:lineRule="auto"/>
        <w:rPr>
          <w:rFonts w:ascii="Arial" w:hAnsi="Arial" w:cs="Arial"/>
          <w:sz w:val="24"/>
          <w:szCs w:val="24"/>
        </w:rPr>
      </w:pPr>
    </w:p>
    <w:sectPr w:rsidR="00FF38F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7" w:right="1417" w:bottom="1417" w:left="1417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59AE" w:rsidRDefault="00CA59AE">
      <w:pPr>
        <w:spacing w:after="0" w:line="240" w:lineRule="auto"/>
      </w:pPr>
      <w:r>
        <w:separator/>
      </w:r>
    </w:p>
  </w:endnote>
  <w:endnote w:type="continuationSeparator" w:id="0">
    <w:p w:rsidR="00CA59AE" w:rsidRDefault="00CA5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38F7" w:rsidRDefault="00FF38F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63720505"/>
      <w:docPartObj>
        <w:docPartGallery w:val="Page Numbers (Bottom of Page)"/>
        <w:docPartUnique/>
      </w:docPartObj>
    </w:sdtPr>
    <w:sdtEndPr/>
    <w:sdtContent>
      <w:p w:rsidR="00FF38F7" w:rsidRDefault="00BD6B5A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DE263D">
          <w:rPr>
            <w:noProof/>
          </w:rPr>
          <w:t>1</w:t>
        </w:r>
        <w:r>
          <w:fldChar w:fldCharType="end"/>
        </w:r>
      </w:p>
    </w:sdtContent>
  </w:sdt>
  <w:p w:rsidR="00FF38F7" w:rsidRDefault="00FF38F7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1815250"/>
      <w:docPartObj>
        <w:docPartGallery w:val="Page Numbers (Bottom of Page)"/>
        <w:docPartUnique/>
      </w:docPartObj>
    </w:sdtPr>
    <w:sdtEndPr/>
    <w:sdtContent>
      <w:p w:rsidR="00FF38F7" w:rsidRDefault="00BD6B5A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FF38F7" w:rsidRDefault="00FF38F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59AE" w:rsidRDefault="00CA59AE">
      <w:pPr>
        <w:spacing w:after="0" w:line="240" w:lineRule="auto"/>
      </w:pPr>
      <w:r>
        <w:separator/>
      </w:r>
    </w:p>
  </w:footnote>
  <w:footnote w:type="continuationSeparator" w:id="0">
    <w:p w:rsidR="00CA59AE" w:rsidRDefault="00CA59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38F7" w:rsidRDefault="00FF38F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38F7" w:rsidRDefault="00BD6B5A">
    <w:pPr>
      <w:pStyle w:val="Nagwek"/>
    </w:pPr>
    <w:r>
      <w:rPr>
        <w:noProof/>
        <w:lang w:eastAsia="pl-PL"/>
      </w:rPr>
      <w:drawing>
        <wp:inline distT="0" distB="0" distL="0" distR="0">
          <wp:extent cx="9242425" cy="673100"/>
          <wp:effectExtent l="0" t="0" r="0" b="0"/>
          <wp:docPr id="1" name="Obraz 2" descr="Obraz przedstawia wymagane logotypy Funduszy Europejskich dla Łódzkiego oraz flagę Rzeczpospolitej Polski i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Obraz przedstawia wymagane logotypy Funduszy Europejskich dla Łódzkiego oraz flagę Rzeczpospolitej Polski i Unii Europejskiej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242425" cy="673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FF38F7" w:rsidRDefault="00FF38F7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38F7" w:rsidRDefault="00BD6B5A">
    <w:pPr>
      <w:pStyle w:val="Nagwek"/>
    </w:pPr>
    <w:r>
      <w:rPr>
        <w:noProof/>
        <w:lang w:eastAsia="pl-PL"/>
      </w:rPr>
      <w:drawing>
        <wp:inline distT="0" distB="0" distL="0" distR="0">
          <wp:extent cx="9242425" cy="673100"/>
          <wp:effectExtent l="0" t="0" r="0" b="0"/>
          <wp:docPr id="2" name="Obraz 2" descr="Obraz przedstawia wymagane logotypy Funduszy Europejskich dla Łódzkiego oraz flagę Rzeczpospolitej Polski i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przedstawia wymagane logotypy Funduszy Europejskich dla Łódzkiego oraz flagę Rzeczpospolitej Polski i Unii Europejskiej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242425" cy="673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FF38F7" w:rsidRDefault="00FF38F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067C3"/>
    <w:multiLevelType w:val="multilevel"/>
    <w:tmpl w:val="C7489DF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EA465E5"/>
    <w:multiLevelType w:val="multilevel"/>
    <w:tmpl w:val="865C05F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60C53EDC"/>
    <w:multiLevelType w:val="multilevel"/>
    <w:tmpl w:val="8DDA4A4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8F7"/>
    <w:rsid w:val="0041503F"/>
    <w:rsid w:val="00AE2DF0"/>
    <w:rsid w:val="00AF18C8"/>
    <w:rsid w:val="00BD6B5A"/>
    <w:rsid w:val="00CA59AE"/>
    <w:rsid w:val="00DE263D"/>
    <w:rsid w:val="00FF3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91D4E"/>
    <w:pPr>
      <w:keepNext/>
      <w:keepLines/>
      <w:spacing w:before="360" w:after="80"/>
      <w:outlineLvl w:val="0"/>
    </w:pPr>
    <w:rPr>
      <w:rFonts w:ascii="Arial" w:eastAsiaTheme="majorEastAsia" w:hAnsi="Arial" w:cstheme="majorBidi"/>
      <w:b/>
      <w:sz w:val="24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772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7727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72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727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72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72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72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72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791D4E"/>
    <w:rPr>
      <w:rFonts w:ascii="Arial" w:eastAsiaTheme="majorEastAsia" w:hAnsi="Arial" w:cstheme="majorBidi"/>
      <w:b/>
      <w:sz w:val="24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77727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77727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77727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77727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77727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77727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77727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77727B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77727B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7772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77727B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77727B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77727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7727B"/>
    <w:rPr>
      <w:b/>
      <w:bCs/>
      <w:smallCaps/>
      <w:color w:val="2F5496" w:themeColor="accent1" w:themeShade="BF"/>
      <w:spacing w:val="5"/>
    </w:rPr>
  </w:style>
  <w:style w:type="character" w:customStyle="1" w:styleId="attribute-value">
    <w:name w:val="attribute-value"/>
    <w:basedOn w:val="Domylnaczcionkaakapitu"/>
    <w:qFormat/>
    <w:rsid w:val="001D64E4"/>
  </w:style>
  <w:style w:type="character" w:styleId="Pogrubienie">
    <w:name w:val="Strong"/>
    <w:basedOn w:val="Domylnaczcionkaakapitu"/>
    <w:uiPriority w:val="22"/>
    <w:qFormat/>
    <w:rsid w:val="008160A6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741C4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741C48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41C48"/>
    <w:rPr>
      <w:b/>
      <w:bCs/>
      <w:sz w:val="20"/>
      <w:szCs w:val="20"/>
    </w:rPr>
  </w:style>
  <w:style w:type="character" w:customStyle="1" w:styleId="vkekvd">
    <w:name w:val="vkekvd"/>
    <w:basedOn w:val="Domylnaczcionkaakapitu"/>
    <w:qFormat/>
    <w:rsid w:val="006F3CA2"/>
  </w:style>
  <w:style w:type="character" w:customStyle="1" w:styleId="NagwekZnak">
    <w:name w:val="Nagłówek Znak"/>
    <w:basedOn w:val="Domylnaczcionkaakapitu"/>
    <w:link w:val="Nagwek"/>
    <w:uiPriority w:val="99"/>
    <w:qFormat/>
    <w:rsid w:val="007E7CBB"/>
  </w:style>
  <w:style w:type="character" w:customStyle="1" w:styleId="StopkaZnak">
    <w:name w:val="Stopka Znak"/>
    <w:basedOn w:val="Domylnaczcionkaakapitu"/>
    <w:link w:val="Stopka"/>
    <w:uiPriority w:val="99"/>
    <w:qFormat/>
    <w:rsid w:val="007E7CBB"/>
  </w:style>
  <w:style w:type="paragraph" w:styleId="Nagwek">
    <w:name w:val="header"/>
    <w:basedOn w:val="Normalny"/>
    <w:next w:val="Tekstpodstawowy"/>
    <w:link w:val="NagwekZnak"/>
    <w:uiPriority w:val="99"/>
    <w:unhideWhenUsed/>
    <w:rsid w:val="007E7CBB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ytu">
    <w:name w:val="Title"/>
    <w:basedOn w:val="Normalny"/>
    <w:next w:val="Normalny"/>
    <w:link w:val="TytuZnak"/>
    <w:uiPriority w:val="10"/>
    <w:qFormat/>
    <w:rsid w:val="007772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72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7727B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7727B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727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styleId="NormalnyWeb">
    <w:name w:val="Normal (Web)"/>
    <w:basedOn w:val="Normalny"/>
    <w:uiPriority w:val="99"/>
    <w:unhideWhenUsed/>
    <w:qFormat/>
    <w:rsid w:val="008160A6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opislista">
    <w:name w:val="opis_lista"/>
    <w:basedOn w:val="Normalny"/>
    <w:qFormat/>
    <w:rsid w:val="008160A6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41C48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741C48"/>
    <w:rPr>
      <w:b/>
      <w:bCs/>
    </w:rPr>
  </w:style>
  <w:style w:type="paragraph" w:customStyle="1" w:styleId="Default">
    <w:name w:val="Default"/>
    <w:qFormat/>
    <w:rsid w:val="007706F4"/>
    <w:rPr>
      <w:rFonts w:ascii="Times New Roman" w:eastAsia="Calibri" w:hAnsi="Times New Roman" w:cs="Times New Roman"/>
      <w:color w:val="000000"/>
      <w:kern w:val="0"/>
      <w:sz w:val="24"/>
      <w:szCs w:val="24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7E7CBB"/>
    <w:pPr>
      <w:tabs>
        <w:tab w:val="center" w:pos="4536"/>
        <w:tab w:val="right" w:pos="9072"/>
      </w:tabs>
      <w:spacing w:after="0" w:line="240" w:lineRule="auto"/>
    </w:pPr>
  </w:style>
  <w:style w:type="table" w:styleId="Tabela-Siatka">
    <w:name w:val="Table Grid"/>
    <w:basedOn w:val="Standardowy"/>
    <w:uiPriority w:val="39"/>
    <w:rsid w:val="006B4E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F18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18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ECA68F-7CFE-4EE5-BA95-8B1EB4B7E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202</Words>
  <Characters>1215</Characters>
  <Application>Microsoft Office Word</Application>
  <DocSecurity>0</DocSecurity>
  <Lines>10</Lines>
  <Paragraphs>2</Paragraphs>
  <ScaleCrop>false</ScaleCrop>
  <Company/>
  <LinksUpToDate>false</LinksUpToDate>
  <CharactersWithSpaces>1415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4.1</dc:title>
  <dc:subject/>
  <dc:creator>Magdalena Pańczyk</dc:creator>
  <dc:description/>
  <cp:lastModifiedBy>Sekretariat</cp:lastModifiedBy>
  <cp:revision>17</cp:revision>
  <cp:lastPrinted>2026-04-21T09:36:00Z</cp:lastPrinted>
  <dcterms:created xsi:type="dcterms:W3CDTF">2025-12-03T09:27:00Z</dcterms:created>
  <dcterms:modified xsi:type="dcterms:W3CDTF">2026-04-27T10:15:00Z</dcterms:modified>
  <dc:language>pl-PL</dc:language>
</cp:coreProperties>
</file>